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4F2" w:rsidRDefault="00851133">
      <w:pPr>
        <w:spacing w:line="360" w:lineRule="auto"/>
        <w:jc w:val="center"/>
      </w:pPr>
      <w:r>
        <w:rPr>
          <w:rFonts w:ascii="Times New Roman" w:hAnsi="Times New Roman" w:cs="Times New Roman"/>
          <w:b/>
          <w:sz w:val="24"/>
        </w:rPr>
        <w:t>OBRAZLOŽENJE IZVRŠENJA FINANCIJSKOG PLANA HRVATSKIH AUTOCESTA ZA PRVO POLUGODIŠTE 2025. GODINE</w:t>
      </w:r>
    </w:p>
    <w:p w:rsidR="003A14F2" w:rsidRDefault="00851133">
      <w:pPr>
        <w:spacing w:line="360" w:lineRule="auto"/>
      </w:pPr>
      <w:r>
        <w:rPr>
          <w:rFonts w:ascii="Times New Roman" w:hAnsi="Times New Roman" w:cs="Times New Roman"/>
          <w:b/>
          <w:sz w:val="24"/>
          <w:u w:val="single"/>
        </w:rPr>
        <w:br/>
        <w:t>UVOD</w:t>
      </w:r>
    </w:p>
    <w:p w:rsidR="003A14F2" w:rsidRDefault="00851133">
      <w:pPr>
        <w:spacing w:line="240" w:lineRule="auto"/>
        <w:jc w:val="both"/>
      </w:pPr>
      <w:r>
        <w:rPr>
          <w:rFonts w:ascii="Times New Roman" w:hAnsi="Times New Roman" w:cs="Times New Roman"/>
          <w:color w:val="000000"/>
          <w:sz w:val="24"/>
        </w:rPr>
        <w:t>Trgovačko društvo Hrvatske autoceste d.o.o. upravlja autocestama, gradi ih, rekonstruira i održava, osim onih autocesta kojima upravlja koncesionar prema odredbama Zakona o cestama. Hrvatske autoceste d.o.o. su u 100%-tnom vlasništvu Republike Hrvatske koja svoja prava u Skupštini Društva ostvaruje putem Vlade Republike Hrvatske.</w:t>
      </w:r>
    </w:p>
    <w:p w:rsidR="003A14F2" w:rsidRDefault="00851133">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3A14F2">
        <w:tc>
          <w:tcPr>
            <w:tcW w:w="14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r>
      <w:tr w:rsidR="003A14F2">
        <w:tc>
          <w:tcPr>
            <w:tcW w:w="1400" w:type="pct"/>
            <w:shd w:val="clear" w:color="auto" w:fill="BCDFFB"/>
            <w:vAlign w:val="center"/>
          </w:tcPr>
          <w:p w:rsidR="003A14F2" w:rsidRDefault="00851133">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sz w:val="14"/>
              </w:rPr>
              <w:t>6=4/3</w:t>
            </w:r>
          </w:p>
        </w:tc>
      </w:tr>
      <w:tr w:rsidR="003A14F2">
        <w:tc>
          <w:tcPr>
            <w:tcW w:w="1400" w:type="pct"/>
            <w:vAlign w:val="bottom"/>
          </w:tcPr>
          <w:p w:rsidR="003A14F2" w:rsidRDefault="00851133">
            <w:pPr>
              <w:spacing w:after="0" w:line="240" w:lineRule="auto"/>
            </w:pPr>
            <w:r>
              <w:rPr>
                <w:rFonts w:ascii="Times New Roman" w:hAnsi="Times New Roman" w:cs="Times New Roman"/>
                <w:sz w:val="18"/>
              </w:rPr>
              <w:t>6 PRIHODI POSLOVANJA</w:t>
            </w:r>
          </w:p>
        </w:tc>
        <w:tc>
          <w:tcPr>
            <w:tcW w:w="800" w:type="pct"/>
            <w:vAlign w:val="bottom"/>
          </w:tcPr>
          <w:p w:rsidR="003A14F2" w:rsidRDefault="00851133">
            <w:pPr>
              <w:spacing w:after="0" w:line="240" w:lineRule="auto"/>
              <w:jc w:val="right"/>
            </w:pPr>
            <w:r>
              <w:rPr>
                <w:rFonts w:ascii="Times New Roman" w:hAnsi="Times New Roman" w:cs="Times New Roman"/>
                <w:sz w:val="18"/>
              </w:rPr>
              <w:t>232.246.546</w:t>
            </w:r>
          </w:p>
        </w:tc>
        <w:tc>
          <w:tcPr>
            <w:tcW w:w="800" w:type="pct"/>
            <w:vAlign w:val="bottom"/>
          </w:tcPr>
          <w:p w:rsidR="003A14F2" w:rsidRDefault="00851133">
            <w:pPr>
              <w:spacing w:after="0" w:line="240" w:lineRule="auto"/>
              <w:jc w:val="right"/>
            </w:pPr>
            <w:r>
              <w:rPr>
                <w:rFonts w:ascii="Times New Roman" w:hAnsi="Times New Roman" w:cs="Times New Roman"/>
                <w:sz w:val="18"/>
              </w:rPr>
              <w:t>528.202.707</w:t>
            </w:r>
          </w:p>
        </w:tc>
        <w:tc>
          <w:tcPr>
            <w:tcW w:w="800" w:type="pct"/>
            <w:vAlign w:val="bottom"/>
          </w:tcPr>
          <w:p w:rsidR="003A14F2" w:rsidRDefault="00851133">
            <w:pPr>
              <w:spacing w:after="0" w:line="240" w:lineRule="auto"/>
              <w:jc w:val="right"/>
            </w:pPr>
            <w:r>
              <w:rPr>
                <w:rFonts w:ascii="Times New Roman" w:hAnsi="Times New Roman" w:cs="Times New Roman"/>
                <w:sz w:val="18"/>
              </w:rPr>
              <w:t>232.119.384</w:t>
            </w:r>
          </w:p>
        </w:tc>
        <w:tc>
          <w:tcPr>
            <w:tcW w:w="500" w:type="pct"/>
            <w:vAlign w:val="bottom"/>
          </w:tcPr>
          <w:p w:rsidR="003A14F2" w:rsidRDefault="00851133">
            <w:pPr>
              <w:spacing w:after="0" w:line="240" w:lineRule="auto"/>
              <w:jc w:val="right"/>
            </w:pPr>
            <w:r>
              <w:rPr>
                <w:rFonts w:ascii="Times New Roman" w:hAnsi="Times New Roman" w:cs="Times New Roman"/>
                <w:sz w:val="18"/>
              </w:rPr>
              <w:t>99,9</w:t>
            </w:r>
          </w:p>
        </w:tc>
        <w:tc>
          <w:tcPr>
            <w:tcW w:w="500" w:type="pct"/>
            <w:vAlign w:val="bottom"/>
          </w:tcPr>
          <w:p w:rsidR="003A14F2" w:rsidRDefault="00851133">
            <w:pPr>
              <w:spacing w:after="0" w:line="240" w:lineRule="auto"/>
              <w:jc w:val="right"/>
            </w:pPr>
            <w:r>
              <w:rPr>
                <w:rFonts w:ascii="Times New Roman" w:hAnsi="Times New Roman" w:cs="Times New Roman"/>
                <w:sz w:val="18"/>
              </w:rPr>
              <w:t>43,9</w:t>
            </w:r>
          </w:p>
        </w:tc>
      </w:tr>
      <w:tr w:rsidR="003A14F2">
        <w:tc>
          <w:tcPr>
            <w:tcW w:w="1400" w:type="pct"/>
            <w:vAlign w:val="bottom"/>
          </w:tcPr>
          <w:p w:rsidR="003A14F2" w:rsidRDefault="00851133">
            <w:pPr>
              <w:spacing w:after="0" w:line="240" w:lineRule="auto"/>
            </w:pPr>
            <w:r>
              <w:rPr>
                <w:rFonts w:ascii="Times New Roman" w:hAnsi="Times New Roman" w:cs="Times New Roman"/>
                <w:sz w:val="18"/>
              </w:rPr>
              <w:t>7 PRIHODI OD PRODAJE NEFINANCIJSKE IMOVINE</w:t>
            </w:r>
          </w:p>
        </w:tc>
        <w:tc>
          <w:tcPr>
            <w:tcW w:w="800" w:type="pct"/>
            <w:vAlign w:val="bottom"/>
          </w:tcPr>
          <w:p w:rsidR="003A14F2" w:rsidRDefault="00851133">
            <w:pPr>
              <w:spacing w:after="0" w:line="240" w:lineRule="auto"/>
              <w:jc w:val="right"/>
            </w:pPr>
            <w:r>
              <w:rPr>
                <w:rFonts w:ascii="Times New Roman" w:hAnsi="Times New Roman" w:cs="Times New Roman"/>
                <w:sz w:val="18"/>
              </w:rPr>
              <w:t>0</w:t>
            </w:r>
          </w:p>
        </w:tc>
        <w:tc>
          <w:tcPr>
            <w:tcW w:w="800" w:type="pct"/>
            <w:vAlign w:val="bottom"/>
          </w:tcPr>
          <w:p w:rsidR="003A14F2" w:rsidRDefault="00851133">
            <w:pPr>
              <w:spacing w:after="0" w:line="240" w:lineRule="auto"/>
              <w:jc w:val="right"/>
            </w:pPr>
            <w:r>
              <w:rPr>
                <w:rFonts w:ascii="Times New Roman" w:hAnsi="Times New Roman" w:cs="Times New Roman"/>
                <w:sz w:val="18"/>
              </w:rPr>
              <w:t>0</w:t>
            </w:r>
          </w:p>
        </w:tc>
        <w:tc>
          <w:tcPr>
            <w:tcW w:w="800" w:type="pct"/>
            <w:vAlign w:val="bottom"/>
          </w:tcPr>
          <w:p w:rsidR="003A14F2" w:rsidRDefault="00851133">
            <w:pPr>
              <w:spacing w:after="0" w:line="240" w:lineRule="auto"/>
              <w:jc w:val="right"/>
            </w:pPr>
            <w:r>
              <w:rPr>
                <w:rFonts w:ascii="Times New Roman" w:hAnsi="Times New Roman" w:cs="Times New Roman"/>
                <w:sz w:val="18"/>
              </w:rPr>
              <w:t>0</w:t>
            </w:r>
          </w:p>
        </w:tc>
        <w:tc>
          <w:tcPr>
            <w:tcW w:w="500" w:type="pct"/>
            <w:vAlign w:val="bottom"/>
          </w:tcPr>
          <w:p w:rsidR="003A14F2" w:rsidRDefault="003A14F2">
            <w:pPr>
              <w:spacing w:after="0" w:line="240" w:lineRule="auto"/>
              <w:jc w:val="right"/>
            </w:pPr>
          </w:p>
        </w:tc>
        <w:tc>
          <w:tcPr>
            <w:tcW w:w="500" w:type="pct"/>
            <w:vAlign w:val="bottom"/>
          </w:tcPr>
          <w:p w:rsidR="003A14F2" w:rsidRDefault="003A14F2">
            <w:pPr>
              <w:spacing w:after="0" w:line="240" w:lineRule="auto"/>
              <w:jc w:val="right"/>
            </w:pPr>
          </w:p>
        </w:tc>
      </w:tr>
      <w:tr w:rsidR="003A14F2">
        <w:tc>
          <w:tcPr>
            <w:tcW w:w="1400" w:type="pct"/>
            <w:vAlign w:val="bottom"/>
          </w:tcPr>
          <w:p w:rsidR="003A14F2" w:rsidRDefault="00851133">
            <w:pPr>
              <w:spacing w:after="0" w:line="240" w:lineRule="auto"/>
            </w:pPr>
            <w:r>
              <w:rPr>
                <w:rFonts w:ascii="Times New Roman" w:hAnsi="Times New Roman" w:cs="Times New Roman"/>
                <w:b/>
                <w:sz w:val="18"/>
              </w:rPr>
              <w:t>UKUPNI PRIHODI</w:t>
            </w:r>
          </w:p>
        </w:tc>
        <w:tc>
          <w:tcPr>
            <w:tcW w:w="800" w:type="pct"/>
            <w:vAlign w:val="bottom"/>
          </w:tcPr>
          <w:p w:rsidR="003A14F2" w:rsidRDefault="00851133">
            <w:pPr>
              <w:spacing w:after="0" w:line="240" w:lineRule="auto"/>
              <w:jc w:val="right"/>
            </w:pPr>
            <w:r>
              <w:rPr>
                <w:rFonts w:ascii="Times New Roman" w:hAnsi="Times New Roman" w:cs="Times New Roman"/>
                <w:b/>
                <w:sz w:val="18"/>
              </w:rPr>
              <w:t>232.246.546</w:t>
            </w:r>
          </w:p>
        </w:tc>
        <w:tc>
          <w:tcPr>
            <w:tcW w:w="800" w:type="pct"/>
            <w:vAlign w:val="bottom"/>
          </w:tcPr>
          <w:p w:rsidR="003A14F2" w:rsidRDefault="00851133">
            <w:pPr>
              <w:spacing w:after="0" w:line="240" w:lineRule="auto"/>
              <w:jc w:val="right"/>
            </w:pPr>
            <w:r>
              <w:rPr>
                <w:rFonts w:ascii="Times New Roman" w:hAnsi="Times New Roman" w:cs="Times New Roman"/>
                <w:b/>
                <w:sz w:val="18"/>
              </w:rPr>
              <w:t>528.202.707</w:t>
            </w:r>
          </w:p>
        </w:tc>
        <w:tc>
          <w:tcPr>
            <w:tcW w:w="800" w:type="pct"/>
            <w:vAlign w:val="bottom"/>
          </w:tcPr>
          <w:p w:rsidR="003A14F2" w:rsidRDefault="00851133">
            <w:pPr>
              <w:spacing w:after="0" w:line="240" w:lineRule="auto"/>
              <w:jc w:val="right"/>
            </w:pPr>
            <w:r>
              <w:rPr>
                <w:rFonts w:ascii="Times New Roman" w:hAnsi="Times New Roman" w:cs="Times New Roman"/>
                <w:b/>
                <w:sz w:val="18"/>
              </w:rPr>
              <w:t>232.119.384</w:t>
            </w:r>
          </w:p>
        </w:tc>
        <w:tc>
          <w:tcPr>
            <w:tcW w:w="500" w:type="pct"/>
            <w:vAlign w:val="bottom"/>
          </w:tcPr>
          <w:p w:rsidR="003A14F2" w:rsidRDefault="00851133">
            <w:pPr>
              <w:spacing w:after="0" w:line="240" w:lineRule="auto"/>
              <w:jc w:val="right"/>
            </w:pPr>
            <w:r>
              <w:rPr>
                <w:rFonts w:ascii="Times New Roman" w:hAnsi="Times New Roman" w:cs="Times New Roman"/>
                <w:b/>
                <w:sz w:val="18"/>
              </w:rPr>
              <w:t>99,9</w:t>
            </w:r>
          </w:p>
        </w:tc>
        <w:tc>
          <w:tcPr>
            <w:tcW w:w="500" w:type="pct"/>
            <w:vAlign w:val="bottom"/>
          </w:tcPr>
          <w:p w:rsidR="003A14F2" w:rsidRDefault="00851133">
            <w:pPr>
              <w:spacing w:after="0" w:line="240" w:lineRule="auto"/>
              <w:jc w:val="right"/>
            </w:pPr>
            <w:r>
              <w:rPr>
                <w:rFonts w:ascii="Times New Roman" w:hAnsi="Times New Roman" w:cs="Times New Roman"/>
                <w:b/>
                <w:sz w:val="18"/>
              </w:rPr>
              <w:t>43,9</w:t>
            </w:r>
          </w:p>
        </w:tc>
      </w:tr>
    </w:tbl>
    <w:p w:rsidR="003A14F2" w:rsidRDefault="003A14F2">
      <w:pPr>
        <w:spacing w:after="0" w:line="240" w:lineRule="auto"/>
      </w:pPr>
    </w:p>
    <w:p w:rsidR="003A14F2" w:rsidRDefault="00851133">
      <w:pPr>
        <w:spacing w:line="240" w:lineRule="auto"/>
        <w:ind w:right="79"/>
        <w:jc w:val="both"/>
      </w:pPr>
      <w:r>
        <w:rPr>
          <w:rFonts w:ascii="Times New Roman" w:hAnsi="Times New Roman" w:cs="Times New Roman"/>
          <w:color w:val="000000"/>
          <w:sz w:val="24"/>
        </w:rPr>
        <w:t>U prvom polugodištu 2025. godine Hrvatske autoceste d.o.o. ostvarile su prihode u visini od 232.119.384 EUR što čini 43,95% ukupno planiranih prihoda za tekuću godinu. Pomoći iz inozemstva i od subjekata unutar općeg proračuna, ostvarene su u iznosu od 19.000.000 EUR, a uključuju Kapitalne pomoći od institucija i tijela EU, Kapitalne pomoći proračunu i izvanproračunskim korisnicima iz drugih proračuna te Kapitalne pomoći temeljem prijenosa EU sredstava. Ostvareni prihod na stavci Kapitalne pomoći proračunu i izvanproračunskim korisnicima iz drugih proračuna odnosi se na naknadu od trošarina na energente koja se uplaćuje iz državnog proračuna na račun Hrvatskih autocesta d.o.o. i predstavlja sredstva kojima Republika Hrvatska financira građenje i održavanje javnih cesta te povrate kredita.</w:t>
      </w:r>
    </w:p>
    <w:p w:rsidR="003A14F2" w:rsidRDefault="00851133">
      <w:pPr>
        <w:spacing w:line="240" w:lineRule="auto"/>
        <w:ind w:right="79"/>
        <w:jc w:val="both"/>
      </w:pPr>
      <w:r>
        <w:rPr>
          <w:rFonts w:ascii="Times New Roman" w:hAnsi="Times New Roman" w:cs="Times New Roman"/>
          <w:color w:val="000000"/>
          <w:sz w:val="24"/>
        </w:rPr>
        <w:t>Naknada za korištenje nefinancijske imovine u iznosu od 8.356.671 EUR prihod je ostvaren gospodarenjem cestovnim zemljištem, a obuhvaća naknadu za korištenje cestovnog zemljišta i naknadu za obavljanje pratećih i uslužnih djelatnosti te naknadu za osnivanje prava služnosti i prava građenja na javnoj cesti.</w:t>
      </w:r>
    </w:p>
    <w:p w:rsidR="003A14F2" w:rsidRDefault="00851133">
      <w:pPr>
        <w:spacing w:line="240" w:lineRule="auto"/>
        <w:ind w:right="79"/>
        <w:jc w:val="both"/>
      </w:pPr>
      <w:r>
        <w:rPr>
          <w:rFonts w:ascii="Times New Roman" w:hAnsi="Times New Roman" w:cs="Times New Roman"/>
          <w:color w:val="000000"/>
          <w:sz w:val="24"/>
        </w:rPr>
        <w:t>Ostali prihodi od nefinancijske imovine ostvareni u iznosu od 3.753.411 EUR odnose se na naknadu za ceste za izvanredni prijevoz, naplate šteta s naslova osiguranja imovine, prihode od prodaje otpadnog materijala, prihode od privremene regulacije prometa i drugo.</w:t>
      </w:r>
    </w:p>
    <w:p w:rsidR="003A14F2" w:rsidRDefault="00851133">
      <w:pPr>
        <w:spacing w:line="240" w:lineRule="auto"/>
        <w:ind w:right="79"/>
        <w:jc w:val="both"/>
      </w:pPr>
      <w:r>
        <w:rPr>
          <w:rFonts w:ascii="Times New Roman" w:hAnsi="Times New Roman" w:cs="Times New Roman"/>
          <w:color w:val="000000"/>
          <w:sz w:val="24"/>
        </w:rPr>
        <w:t>U ukupnim prihodima poslovanja Hrvatskih autocesta d.o.o. najveći dio odnosi se na Prihode od pruženih usluga, a čine ih prihod od naplate cestarine i prihod od usluge održavanja cesta ostvareni za 2025. godinu u ukupnom iznosu od 196.854.801 EUR, što je 13,89% više nego u istom razdoblju prethodne godine.</w:t>
      </w:r>
    </w:p>
    <w:p w:rsidR="006C1EA0" w:rsidRDefault="006C1EA0">
      <w:pPr>
        <w:spacing w:line="360" w:lineRule="auto"/>
        <w:rPr>
          <w:rFonts w:ascii="Times New Roman" w:hAnsi="Times New Roman" w:cs="Times New Roman"/>
          <w:b/>
          <w:sz w:val="24"/>
          <w:u w:val="single"/>
        </w:rPr>
      </w:pPr>
    </w:p>
    <w:p w:rsidR="006C1EA0" w:rsidRDefault="006C1EA0">
      <w:pPr>
        <w:spacing w:line="360" w:lineRule="auto"/>
        <w:rPr>
          <w:rFonts w:ascii="Times New Roman" w:hAnsi="Times New Roman" w:cs="Times New Roman"/>
          <w:b/>
          <w:sz w:val="24"/>
          <w:u w:val="single"/>
        </w:rPr>
      </w:pPr>
    </w:p>
    <w:p w:rsidR="006C1EA0" w:rsidRDefault="006C1EA0">
      <w:pPr>
        <w:spacing w:line="360" w:lineRule="auto"/>
        <w:rPr>
          <w:rFonts w:ascii="Times New Roman" w:hAnsi="Times New Roman" w:cs="Times New Roman"/>
          <w:b/>
          <w:sz w:val="24"/>
          <w:u w:val="single"/>
        </w:rPr>
      </w:pPr>
    </w:p>
    <w:p w:rsidR="003A14F2" w:rsidRDefault="00851133">
      <w:pPr>
        <w:spacing w:line="360" w:lineRule="auto"/>
      </w:pPr>
      <w:r>
        <w:rPr>
          <w:rFonts w:ascii="Times New Roman" w:hAnsi="Times New Roman" w:cs="Times New Roman"/>
          <w:b/>
          <w:sz w:val="24"/>
          <w:u w:val="single"/>
        </w:rPr>
        <w:lastRenderedPageBreak/>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3A14F2">
        <w:tc>
          <w:tcPr>
            <w:tcW w:w="14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r>
      <w:tr w:rsidR="003A14F2">
        <w:tc>
          <w:tcPr>
            <w:tcW w:w="1400" w:type="pct"/>
            <w:shd w:val="clear" w:color="auto" w:fill="BCDFFB"/>
            <w:vAlign w:val="center"/>
          </w:tcPr>
          <w:p w:rsidR="003A14F2" w:rsidRDefault="00851133">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A14F2" w:rsidRDefault="00851133">
            <w:pPr>
              <w:spacing w:after="0" w:line="240" w:lineRule="auto"/>
              <w:jc w:val="center"/>
            </w:pPr>
            <w:r>
              <w:rPr>
                <w:rFonts w:ascii="Times New Roman" w:hAnsi="Times New Roman" w:cs="Times New Roman"/>
                <w:sz w:val="14"/>
              </w:rPr>
              <w:t>6=4/3</w:t>
            </w:r>
          </w:p>
        </w:tc>
      </w:tr>
      <w:tr w:rsidR="003A14F2">
        <w:tc>
          <w:tcPr>
            <w:tcW w:w="1400" w:type="pct"/>
            <w:vAlign w:val="center"/>
          </w:tcPr>
          <w:p w:rsidR="003A14F2" w:rsidRDefault="00851133">
            <w:pPr>
              <w:spacing w:after="0" w:line="240" w:lineRule="auto"/>
            </w:pPr>
            <w:r>
              <w:rPr>
                <w:rFonts w:ascii="Times New Roman" w:hAnsi="Times New Roman" w:cs="Times New Roman"/>
                <w:sz w:val="18"/>
              </w:rPr>
              <w:t>3 RASHODI POSLOVANJA</w:t>
            </w:r>
          </w:p>
        </w:tc>
        <w:tc>
          <w:tcPr>
            <w:tcW w:w="800" w:type="pct"/>
            <w:vAlign w:val="bottom"/>
          </w:tcPr>
          <w:p w:rsidR="003A14F2" w:rsidRDefault="00851133">
            <w:pPr>
              <w:spacing w:after="0" w:line="240" w:lineRule="auto"/>
              <w:jc w:val="right"/>
            </w:pPr>
            <w:r>
              <w:rPr>
                <w:rFonts w:ascii="Times New Roman" w:hAnsi="Times New Roman" w:cs="Times New Roman"/>
                <w:sz w:val="18"/>
              </w:rPr>
              <w:t>148.476.032</w:t>
            </w:r>
          </w:p>
        </w:tc>
        <w:tc>
          <w:tcPr>
            <w:tcW w:w="800" w:type="pct"/>
            <w:vAlign w:val="bottom"/>
          </w:tcPr>
          <w:p w:rsidR="003A14F2" w:rsidRDefault="00851133">
            <w:pPr>
              <w:spacing w:after="0" w:line="240" w:lineRule="auto"/>
              <w:jc w:val="right"/>
            </w:pPr>
            <w:r>
              <w:rPr>
                <w:rFonts w:ascii="Times New Roman" w:hAnsi="Times New Roman" w:cs="Times New Roman"/>
                <w:sz w:val="18"/>
              </w:rPr>
              <w:t>289.835.304</w:t>
            </w:r>
          </w:p>
        </w:tc>
        <w:tc>
          <w:tcPr>
            <w:tcW w:w="800" w:type="pct"/>
            <w:vAlign w:val="bottom"/>
          </w:tcPr>
          <w:p w:rsidR="003A14F2" w:rsidRDefault="00851133">
            <w:pPr>
              <w:spacing w:after="0" w:line="240" w:lineRule="auto"/>
              <w:jc w:val="right"/>
            </w:pPr>
            <w:r>
              <w:rPr>
                <w:rFonts w:ascii="Times New Roman" w:hAnsi="Times New Roman" w:cs="Times New Roman"/>
                <w:sz w:val="18"/>
              </w:rPr>
              <w:t>148.240.028</w:t>
            </w:r>
          </w:p>
        </w:tc>
        <w:tc>
          <w:tcPr>
            <w:tcW w:w="500" w:type="pct"/>
            <w:vAlign w:val="bottom"/>
          </w:tcPr>
          <w:p w:rsidR="003A14F2" w:rsidRDefault="00851133">
            <w:pPr>
              <w:spacing w:after="0" w:line="240" w:lineRule="auto"/>
              <w:jc w:val="right"/>
            </w:pPr>
            <w:r>
              <w:rPr>
                <w:rFonts w:ascii="Times New Roman" w:hAnsi="Times New Roman" w:cs="Times New Roman"/>
                <w:sz w:val="18"/>
              </w:rPr>
              <w:t>99,8</w:t>
            </w:r>
          </w:p>
        </w:tc>
        <w:tc>
          <w:tcPr>
            <w:tcW w:w="500" w:type="pct"/>
            <w:vAlign w:val="bottom"/>
          </w:tcPr>
          <w:p w:rsidR="003A14F2" w:rsidRDefault="00851133">
            <w:pPr>
              <w:spacing w:after="0" w:line="240" w:lineRule="auto"/>
              <w:jc w:val="right"/>
            </w:pPr>
            <w:r>
              <w:rPr>
                <w:rFonts w:ascii="Times New Roman" w:hAnsi="Times New Roman" w:cs="Times New Roman"/>
                <w:sz w:val="18"/>
              </w:rPr>
              <w:t>51,1</w:t>
            </w:r>
          </w:p>
        </w:tc>
      </w:tr>
      <w:tr w:rsidR="003A14F2">
        <w:tc>
          <w:tcPr>
            <w:tcW w:w="1400" w:type="pct"/>
            <w:vAlign w:val="bottom"/>
          </w:tcPr>
          <w:p w:rsidR="003A14F2" w:rsidRDefault="00851133">
            <w:pPr>
              <w:spacing w:after="0" w:line="240" w:lineRule="auto"/>
            </w:pPr>
            <w:r>
              <w:rPr>
                <w:rFonts w:ascii="Times New Roman" w:hAnsi="Times New Roman" w:cs="Times New Roman"/>
                <w:sz w:val="18"/>
              </w:rPr>
              <w:t>4 RASHODI ZA NABAVU NEFINANCIJSKE IMOVINE</w:t>
            </w:r>
          </w:p>
        </w:tc>
        <w:tc>
          <w:tcPr>
            <w:tcW w:w="800" w:type="pct"/>
            <w:vAlign w:val="bottom"/>
          </w:tcPr>
          <w:p w:rsidR="003A14F2" w:rsidRDefault="00851133">
            <w:pPr>
              <w:spacing w:after="0" w:line="240" w:lineRule="auto"/>
              <w:jc w:val="right"/>
            </w:pPr>
            <w:r>
              <w:rPr>
                <w:rFonts w:ascii="Times New Roman" w:hAnsi="Times New Roman" w:cs="Times New Roman"/>
                <w:sz w:val="18"/>
              </w:rPr>
              <w:t>69.034.780</w:t>
            </w:r>
          </w:p>
        </w:tc>
        <w:tc>
          <w:tcPr>
            <w:tcW w:w="800" w:type="pct"/>
            <w:vAlign w:val="bottom"/>
          </w:tcPr>
          <w:p w:rsidR="003A14F2" w:rsidRDefault="00851133">
            <w:pPr>
              <w:spacing w:after="0" w:line="240" w:lineRule="auto"/>
              <w:jc w:val="right"/>
            </w:pPr>
            <w:r>
              <w:rPr>
                <w:rFonts w:ascii="Times New Roman" w:hAnsi="Times New Roman" w:cs="Times New Roman"/>
                <w:sz w:val="18"/>
              </w:rPr>
              <w:t>132.460.968</w:t>
            </w:r>
          </w:p>
        </w:tc>
        <w:tc>
          <w:tcPr>
            <w:tcW w:w="800" w:type="pct"/>
            <w:vAlign w:val="bottom"/>
          </w:tcPr>
          <w:p w:rsidR="003A14F2" w:rsidRDefault="00851133">
            <w:pPr>
              <w:spacing w:after="0" w:line="240" w:lineRule="auto"/>
              <w:jc w:val="right"/>
            </w:pPr>
            <w:r>
              <w:rPr>
                <w:rFonts w:ascii="Times New Roman" w:hAnsi="Times New Roman" w:cs="Times New Roman"/>
                <w:sz w:val="18"/>
              </w:rPr>
              <w:t>64.773.683</w:t>
            </w:r>
          </w:p>
        </w:tc>
        <w:tc>
          <w:tcPr>
            <w:tcW w:w="500" w:type="pct"/>
            <w:vAlign w:val="bottom"/>
          </w:tcPr>
          <w:p w:rsidR="003A14F2" w:rsidRDefault="00851133">
            <w:pPr>
              <w:spacing w:after="0" w:line="240" w:lineRule="auto"/>
              <w:jc w:val="right"/>
            </w:pPr>
            <w:r>
              <w:rPr>
                <w:rFonts w:ascii="Times New Roman" w:hAnsi="Times New Roman" w:cs="Times New Roman"/>
                <w:sz w:val="18"/>
              </w:rPr>
              <w:t>93,8</w:t>
            </w:r>
          </w:p>
        </w:tc>
        <w:tc>
          <w:tcPr>
            <w:tcW w:w="500" w:type="pct"/>
            <w:vAlign w:val="bottom"/>
          </w:tcPr>
          <w:p w:rsidR="003A14F2" w:rsidRDefault="00851133">
            <w:pPr>
              <w:spacing w:after="0" w:line="240" w:lineRule="auto"/>
              <w:jc w:val="right"/>
            </w:pPr>
            <w:r>
              <w:rPr>
                <w:rFonts w:ascii="Times New Roman" w:hAnsi="Times New Roman" w:cs="Times New Roman"/>
                <w:sz w:val="18"/>
              </w:rPr>
              <w:t>48,9</w:t>
            </w:r>
          </w:p>
        </w:tc>
      </w:tr>
      <w:tr w:rsidR="003A14F2">
        <w:tc>
          <w:tcPr>
            <w:tcW w:w="1400" w:type="pct"/>
            <w:vAlign w:val="bottom"/>
          </w:tcPr>
          <w:p w:rsidR="003A14F2" w:rsidRDefault="00851133">
            <w:pPr>
              <w:spacing w:after="0" w:line="240" w:lineRule="auto"/>
            </w:pPr>
            <w:r>
              <w:rPr>
                <w:rFonts w:ascii="Times New Roman" w:hAnsi="Times New Roman" w:cs="Times New Roman"/>
                <w:b/>
                <w:sz w:val="18"/>
              </w:rPr>
              <w:t>UKUPNI RASHODI</w:t>
            </w:r>
          </w:p>
        </w:tc>
        <w:tc>
          <w:tcPr>
            <w:tcW w:w="800" w:type="pct"/>
            <w:vAlign w:val="bottom"/>
          </w:tcPr>
          <w:p w:rsidR="003A14F2" w:rsidRDefault="00851133">
            <w:pPr>
              <w:spacing w:after="0" w:line="240" w:lineRule="auto"/>
              <w:jc w:val="right"/>
            </w:pPr>
            <w:r>
              <w:rPr>
                <w:rFonts w:ascii="Times New Roman" w:hAnsi="Times New Roman" w:cs="Times New Roman"/>
                <w:b/>
                <w:sz w:val="18"/>
              </w:rPr>
              <w:t>217.510.812</w:t>
            </w:r>
          </w:p>
        </w:tc>
        <w:tc>
          <w:tcPr>
            <w:tcW w:w="800" w:type="pct"/>
            <w:vAlign w:val="bottom"/>
          </w:tcPr>
          <w:p w:rsidR="003A14F2" w:rsidRDefault="00851133">
            <w:pPr>
              <w:spacing w:after="0" w:line="240" w:lineRule="auto"/>
              <w:jc w:val="right"/>
            </w:pPr>
            <w:r>
              <w:rPr>
                <w:rFonts w:ascii="Times New Roman" w:hAnsi="Times New Roman" w:cs="Times New Roman"/>
                <w:b/>
                <w:sz w:val="18"/>
              </w:rPr>
              <w:t>422.296.272</w:t>
            </w:r>
          </w:p>
        </w:tc>
        <w:tc>
          <w:tcPr>
            <w:tcW w:w="800" w:type="pct"/>
            <w:vAlign w:val="bottom"/>
          </w:tcPr>
          <w:p w:rsidR="003A14F2" w:rsidRDefault="00851133">
            <w:pPr>
              <w:spacing w:after="0" w:line="240" w:lineRule="auto"/>
              <w:jc w:val="right"/>
            </w:pPr>
            <w:r>
              <w:rPr>
                <w:rFonts w:ascii="Times New Roman" w:hAnsi="Times New Roman" w:cs="Times New Roman"/>
                <w:b/>
                <w:sz w:val="18"/>
              </w:rPr>
              <w:t>213.013.711</w:t>
            </w:r>
          </w:p>
        </w:tc>
        <w:tc>
          <w:tcPr>
            <w:tcW w:w="500" w:type="pct"/>
            <w:vAlign w:val="bottom"/>
          </w:tcPr>
          <w:p w:rsidR="003A14F2" w:rsidRDefault="00851133">
            <w:pPr>
              <w:spacing w:after="0" w:line="240" w:lineRule="auto"/>
              <w:jc w:val="right"/>
            </w:pPr>
            <w:r>
              <w:rPr>
                <w:rFonts w:ascii="Times New Roman" w:hAnsi="Times New Roman" w:cs="Times New Roman"/>
                <w:b/>
                <w:sz w:val="18"/>
              </w:rPr>
              <w:t>97,9</w:t>
            </w:r>
          </w:p>
        </w:tc>
        <w:tc>
          <w:tcPr>
            <w:tcW w:w="500" w:type="pct"/>
            <w:vAlign w:val="bottom"/>
          </w:tcPr>
          <w:p w:rsidR="003A14F2" w:rsidRDefault="00851133">
            <w:pPr>
              <w:spacing w:after="0" w:line="240" w:lineRule="auto"/>
              <w:jc w:val="right"/>
            </w:pPr>
            <w:r>
              <w:rPr>
                <w:rFonts w:ascii="Times New Roman" w:hAnsi="Times New Roman" w:cs="Times New Roman"/>
                <w:b/>
                <w:sz w:val="18"/>
              </w:rPr>
              <w:t>50,4</w:t>
            </w:r>
          </w:p>
        </w:tc>
      </w:tr>
    </w:tbl>
    <w:p w:rsidR="003A14F2" w:rsidRDefault="003A14F2">
      <w:pPr>
        <w:spacing w:after="0" w:line="240" w:lineRule="auto"/>
      </w:pPr>
    </w:p>
    <w:p w:rsidR="003A14F2" w:rsidRDefault="00851133">
      <w:pPr>
        <w:spacing w:line="240" w:lineRule="auto"/>
        <w:ind w:right="79"/>
        <w:jc w:val="both"/>
      </w:pPr>
      <w:r>
        <w:rPr>
          <w:rFonts w:ascii="Times New Roman" w:hAnsi="Times New Roman" w:cs="Times New Roman"/>
          <w:color w:val="000000"/>
          <w:sz w:val="24"/>
        </w:rPr>
        <w:t>U prvom polugodištu 2025. godine Hrvatske autoceste d.o.o. ostvarile su ukupne rashode u visini od 213.013.712 EUR što čini 50,44% planiranih rashoda za tekuću godinu. Rashodi poslovanja, ostvareni u iznosu od 148.240.028 EUR ili 51,15% u odnosu na planirane za godinu, odnose se na rashode za zaposlene, materijalne rashode za redovno održavanje autoceste i poslovanje, financijske rashode, najvećim dijelom za kamate po primljenim kreditima te ostale rashode.</w:t>
      </w:r>
    </w:p>
    <w:p w:rsidR="003A14F2" w:rsidRDefault="00851133">
      <w:pPr>
        <w:spacing w:line="240" w:lineRule="auto"/>
        <w:ind w:right="79"/>
        <w:jc w:val="both"/>
      </w:pPr>
      <w:r>
        <w:rPr>
          <w:rFonts w:ascii="Times New Roman" w:hAnsi="Times New Roman" w:cs="Times New Roman"/>
          <w:color w:val="000000"/>
          <w:sz w:val="24"/>
        </w:rPr>
        <w:t>Rashodi za nabavu nefinancijske imovine ostvareni su u iznosu od 64.773.683 EUR, 48,90% od planiranih za tekuću godinu, a od ukupnih ostvarenih rashoda za nabavu nefinancijske imovine na Program građenja i izvanrednog održavanja autocesta odnosi se 58.903.715 EUR</w:t>
      </w:r>
      <w:r>
        <w:rPr>
          <w:rFonts w:ascii="Times New Roman" w:hAnsi="Times New Roman" w:cs="Times New Roman"/>
          <w:sz w:val="24"/>
        </w:rPr>
        <w:t>, a preostali dio u iznosu od 5.869.968 EUR čini nabava imovine Društva za potrebe redovnog održavanja i upravljanja. Rashodi za nabavu proizvedene dugotrajne imovine (građenje autocesta) uključuju aktivnosti na dovršetku izgradnje autoceste A5 Granica Republike Mađarske – Beli Manastir – Osijek – Svilaj, dionica od granice Republike Mađarske do Belog Manastira u duljini od 5 kilometara i izgradnju autoceste A7 Rupa – Rijeka – Žuta Lokva, sektor Križišće – Žuta Lokva, dionica od km 17+500,00 do km 25+144,55, a osim izgradnje trase autoceste u tijeku su radovi na dogradnji drugog kolnika autoceste A8 s čvorom Matulji – Opatija, uređenju mreže odmorišta na autocestama (odmorište Zagreb, Kraljeva Velika, Stari Grabovac), a dovršeni su radovi na rekonstrukciji i dogradnji čvora Orehovica na autocesti A6 koji je u svibnju pušten u promet. Izrađuje se projektna dokumentacije za nastavak izgradnje autoceste A7, za izgradnju autoceste A1, sektor Metković – Dubrovnik, rekonstrukciju zagrebačke obilaznice dogradnjom trećeg voznog traka i drugo.</w:t>
      </w:r>
    </w:p>
    <w:p w:rsidR="003A14F2" w:rsidRDefault="00851133">
      <w:pPr>
        <w:spacing w:line="240" w:lineRule="auto"/>
        <w:ind w:right="79"/>
        <w:jc w:val="both"/>
      </w:pPr>
      <w:r>
        <w:rPr>
          <w:rFonts w:ascii="Times New Roman" w:hAnsi="Times New Roman" w:cs="Times New Roman"/>
          <w:sz w:val="24"/>
        </w:rPr>
        <w:t>U cilju produljena vijeka trajanja imovine te poboljšanja kvalitete i sigurnosti cestovnog prometa kontinuirano se izvode radovi izvanrednog održavanja (Rashodi za dodatna ulaganja na nefinancijskoj imovini) koji obuhvaćaju obnovu i rekonstrukciju kolničke konstrukcije i objekata, sanacije odvodnje, prometne opreme i signalizacije, aktivnosti na uvođenju inteligentnih transportnih sustava i sve ostale radove usmjerene na povećanje sigurnosti prometa i korisnika autocesta (sanacije potencijalno opasnih mjesta, zamjena promjenjive prometne signalizacije i drugo).</w:t>
      </w:r>
    </w:p>
    <w:p w:rsidR="003A14F2" w:rsidRDefault="00851133">
      <w:pPr>
        <w:spacing w:line="360" w:lineRule="auto"/>
      </w:pPr>
      <w:r>
        <w:rPr>
          <w:rFonts w:ascii="Times New Roman" w:hAnsi="Times New Roman" w:cs="Times New Roman"/>
          <w:b/>
          <w:sz w:val="24"/>
          <w:u w:val="single"/>
        </w:rPr>
        <w:br/>
        <w:t>RAČUN FINANCIRANJA</w:t>
      </w:r>
    </w:p>
    <w:p w:rsidR="003A14F2" w:rsidRDefault="00851133">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3A14F2">
        <w:tc>
          <w:tcPr>
            <w:tcW w:w="2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r>
      <w:tr w:rsidR="003A14F2">
        <w:tc>
          <w:tcPr>
            <w:tcW w:w="2500" w:type="pct"/>
            <w:shd w:val="clear" w:color="auto" w:fill="BCDFFB"/>
            <w:vAlign w:val="center"/>
          </w:tcPr>
          <w:p w:rsidR="003A14F2" w:rsidRDefault="00851133">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4=3/2</w:t>
            </w:r>
          </w:p>
        </w:tc>
      </w:tr>
      <w:tr w:rsidR="003A14F2">
        <w:tc>
          <w:tcPr>
            <w:tcW w:w="2500" w:type="pct"/>
            <w:vAlign w:val="center"/>
          </w:tcPr>
          <w:p w:rsidR="003A14F2" w:rsidRDefault="00851133">
            <w:pPr>
              <w:spacing w:after="0" w:line="240" w:lineRule="auto"/>
            </w:pPr>
            <w:r>
              <w:rPr>
                <w:rFonts w:ascii="Times New Roman" w:hAnsi="Times New Roman" w:cs="Times New Roman"/>
                <w:sz w:val="18"/>
              </w:rPr>
              <w:t>UKUPNI PRIHODI</w:t>
            </w:r>
          </w:p>
        </w:tc>
        <w:tc>
          <w:tcPr>
            <w:tcW w:w="1000" w:type="pct"/>
            <w:vAlign w:val="bottom"/>
          </w:tcPr>
          <w:p w:rsidR="003A14F2" w:rsidRDefault="00851133">
            <w:pPr>
              <w:spacing w:after="0" w:line="240" w:lineRule="auto"/>
              <w:jc w:val="right"/>
            </w:pPr>
            <w:r>
              <w:rPr>
                <w:rFonts w:ascii="Times New Roman" w:hAnsi="Times New Roman" w:cs="Times New Roman"/>
                <w:sz w:val="18"/>
              </w:rPr>
              <w:t>528.202.707</w:t>
            </w:r>
          </w:p>
        </w:tc>
        <w:tc>
          <w:tcPr>
            <w:tcW w:w="1000" w:type="pct"/>
            <w:vAlign w:val="bottom"/>
          </w:tcPr>
          <w:p w:rsidR="003A14F2" w:rsidRDefault="00851133">
            <w:pPr>
              <w:spacing w:after="0" w:line="240" w:lineRule="auto"/>
              <w:jc w:val="right"/>
            </w:pPr>
            <w:r>
              <w:rPr>
                <w:rFonts w:ascii="Times New Roman" w:hAnsi="Times New Roman" w:cs="Times New Roman"/>
                <w:sz w:val="18"/>
              </w:rPr>
              <w:t>232.119.384</w:t>
            </w:r>
          </w:p>
        </w:tc>
        <w:tc>
          <w:tcPr>
            <w:tcW w:w="800" w:type="pct"/>
            <w:vAlign w:val="bottom"/>
          </w:tcPr>
          <w:p w:rsidR="003A14F2" w:rsidRDefault="00851133">
            <w:pPr>
              <w:spacing w:after="0" w:line="240" w:lineRule="auto"/>
              <w:jc w:val="right"/>
            </w:pPr>
            <w:r>
              <w:rPr>
                <w:rFonts w:ascii="Times New Roman" w:hAnsi="Times New Roman" w:cs="Times New Roman"/>
                <w:sz w:val="18"/>
              </w:rPr>
              <w:t>43,9</w:t>
            </w:r>
          </w:p>
        </w:tc>
      </w:tr>
      <w:tr w:rsidR="003A14F2">
        <w:tc>
          <w:tcPr>
            <w:tcW w:w="2500" w:type="pct"/>
            <w:vAlign w:val="bottom"/>
          </w:tcPr>
          <w:p w:rsidR="003A14F2" w:rsidRDefault="00851133">
            <w:pPr>
              <w:spacing w:after="0" w:line="240" w:lineRule="auto"/>
            </w:pPr>
            <w:r>
              <w:rPr>
                <w:rFonts w:ascii="Times New Roman" w:hAnsi="Times New Roman" w:cs="Times New Roman"/>
                <w:sz w:val="18"/>
              </w:rPr>
              <w:t>UKUPNI RASHODI</w:t>
            </w:r>
          </w:p>
        </w:tc>
        <w:tc>
          <w:tcPr>
            <w:tcW w:w="1000" w:type="pct"/>
            <w:vAlign w:val="bottom"/>
          </w:tcPr>
          <w:p w:rsidR="003A14F2" w:rsidRDefault="00851133">
            <w:pPr>
              <w:spacing w:after="0" w:line="240" w:lineRule="auto"/>
              <w:jc w:val="right"/>
            </w:pPr>
            <w:r>
              <w:rPr>
                <w:rFonts w:ascii="Times New Roman" w:hAnsi="Times New Roman" w:cs="Times New Roman"/>
                <w:sz w:val="18"/>
              </w:rPr>
              <w:t>422.296.272</w:t>
            </w:r>
          </w:p>
        </w:tc>
        <w:tc>
          <w:tcPr>
            <w:tcW w:w="1000" w:type="pct"/>
            <w:vAlign w:val="bottom"/>
          </w:tcPr>
          <w:p w:rsidR="003A14F2" w:rsidRDefault="00851133">
            <w:pPr>
              <w:spacing w:after="0" w:line="240" w:lineRule="auto"/>
              <w:jc w:val="right"/>
            </w:pPr>
            <w:r>
              <w:rPr>
                <w:rFonts w:ascii="Times New Roman" w:hAnsi="Times New Roman" w:cs="Times New Roman"/>
                <w:sz w:val="18"/>
              </w:rPr>
              <w:t>213.013.711</w:t>
            </w:r>
          </w:p>
        </w:tc>
        <w:tc>
          <w:tcPr>
            <w:tcW w:w="800" w:type="pct"/>
            <w:vAlign w:val="bottom"/>
          </w:tcPr>
          <w:p w:rsidR="003A14F2" w:rsidRDefault="00851133">
            <w:pPr>
              <w:spacing w:after="0" w:line="240" w:lineRule="auto"/>
              <w:jc w:val="right"/>
            </w:pPr>
            <w:r>
              <w:rPr>
                <w:rFonts w:ascii="Times New Roman" w:hAnsi="Times New Roman" w:cs="Times New Roman"/>
                <w:sz w:val="18"/>
              </w:rPr>
              <w:t>50,4</w:t>
            </w:r>
          </w:p>
        </w:tc>
      </w:tr>
      <w:tr w:rsidR="003A14F2">
        <w:tc>
          <w:tcPr>
            <w:tcW w:w="2500" w:type="pct"/>
            <w:vAlign w:val="bottom"/>
          </w:tcPr>
          <w:p w:rsidR="003A14F2" w:rsidRDefault="00851133">
            <w:pPr>
              <w:spacing w:after="0" w:line="240" w:lineRule="auto"/>
            </w:pPr>
            <w:r>
              <w:rPr>
                <w:rFonts w:ascii="Times New Roman" w:hAnsi="Times New Roman" w:cs="Times New Roman"/>
                <w:b/>
                <w:sz w:val="18"/>
              </w:rPr>
              <w:t>RAZLIKA - VIŠAK/MANJAK</w:t>
            </w:r>
          </w:p>
        </w:tc>
        <w:tc>
          <w:tcPr>
            <w:tcW w:w="1000" w:type="pct"/>
            <w:vAlign w:val="bottom"/>
          </w:tcPr>
          <w:p w:rsidR="003A14F2" w:rsidRDefault="00851133">
            <w:pPr>
              <w:spacing w:after="0" w:line="240" w:lineRule="auto"/>
              <w:jc w:val="right"/>
            </w:pPr>
            <w:r>
              <w:rPr>
                <w:rFonts w:ascii="Times New Roman" w:hAnsi="Times New Roman" w:cs="Times New Roman"/>
                <w:b/>
                <w:sz w:val="18"/>
              </w:rPr>
              <w:t>105.906.435</w:t>
            </w:r>
          </w:p>
        </w:tc>
        <w:tc>
          <w:tcPr>
            <w:tcW w:w="800" w:type="pct"/>
            <w:vAlign w:val="bottom"/>
          </w:tcPr>
          <w:p w:rsidR="003A14F2" w:rsidRDefault="00851133">
            <w:pPr>
              <w:spacing w:after="0" w:line="240" w:lineRule="auto"/>
              <w:jc w:val="right"/>
            </w:pPr>
            <w:r>
              <w:rPr>
                <w:rFonts w:ascii="Times New Roman" w:hAnsi="Times New Roman" w:cs="Times New Roman"/>
                <w:b/>
                <w:sz w:val="18"/>
              </w:rPr>
              <w:t>19.105.672</w:t>
            </w:r>
          </w:p>
        </w:tc>
        <w:tc>
          <w:tcPr>
            <w:tcW w:w="800" w:type="pct"/>
            <w:vAlign w:val="bottom"/>
          </w:tcPr>
          <w:p w:rsidR="003A14F2" w:rsidRDefault="00851133">
            <w:pPr>
              <w:spacing w:after="0" w:line="240" w:lineRule="auto"/>
              <w:jc w:val="right"/>
            </w:pPr>
            <w:r>
              <w:rPr>
                <w:rFonts w:ascii="Times New Roman" w:hAnsi="Times New Roman" w:cs="Times New Roman"/>
                <w:b/>
                <w:sz w:val="18"/>
              </w:rPr>
              <w:t>18,0</w:t>
            </w:r>
          </w:p>
        </w:tc>
      </w:tr>
    </w:tbl>
    <w:p w:rsidR="003A14F2" w:rsidRDefault="003A14F2">
      <w:pPr>
        <w:spacing w:after="0" w:line="240" w:lineRule="auto"/>
      </w:pPr>
    </w:p>
    <w:p w:rsidR="003A14F2" w:rsidRDefault="00851133">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3A14F2">
        <w:tc>
          <w:tcPr>
            <w:tcW w:w="25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b/>
                <w:sz w:val="18"/>
              </w:rPr>
              <w:t>INDEKS</w:t>
            </w:r>
          </w:p>
        </w:tc>
      </w:tr>
      <w:tr w:rsidR="003A14F2">
        <w:tc>
          <w:tcPr>
            <w:tcW w:w="2500" w:type="pct"/>
            <w:shd w:val="clear" w:color="auto" w:fill="BCDFFB"/>
            <w:vAlign w:val="center"/>
          </w:tcPr>
          <w:p w:rsidR="003A14F2" w:rsidRDefault="00851133">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A14F2" w:rsidRDefault="00851133">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A14F2" w:rsidRDefault="00851133">
            <w:pPr>
              <w:spacing w:after="0" w:line="240" w:lineRule="auto"/>
              <w:jc w:val="center"/>
            </w:pPr>
            <w:r>
              <w:rPr>
                <w:rFonts w:ascii="Times New Roman" w:hAnsi="Times New Roman" w:cs="Times New Roman"/>
                <w:sz w:val="14"/>
              </w:rPr>
              <w:t>4=3/2</w:t>
            </w:r>
          </w:p>
        </w:tc>
      </w:tr>
      <w:tr w:rsidR="003A14F2">
        <w:tc>
          <w:tcPr>
            <w:tcW w:w="2500" w:type="pct"/>
            <w:vAlign w:val="center"/>
          </w:tcPr>
          <w:p w:rsidR="003A14F2" w:rsidRDefault="00851133">
            <w:pPr>
              <w:spacing w:after="0" w:line="240" w:lineRule="auto"/>
            </w:pPr>
            <w:r>
              <w:rPr>
                <w:rFonts w:ascii="Times New Roman" w:hAnsi="Times New Roman" w:cs="Times New Roman"/>
                <w:sz w:val="18"/>
              </w:rPr>
              <w:t>8 PRIMICI OD FINANCIJSKE IMOVINE I ZADUŽIVANJA</w:t>
            </w:r>
          </w:p>
        </w:tc>
        <w:tc>
          <w:tcPr>
            <w:tcW w:w="1000" w:type="pct"/>
            <w:vAlign w:val="bottom"/>
          </w:tcPr>
          <w:p w:rsidR="003A14F2" w:rsidRDefault="00851133">
            <w:pPr>
              <w:spacing w:after="0" w:line="240" w:lineRule="auto"/>
              <w:jc w:val="right"/>
            </w:pPr>
            <w:r>
              <w:rPr>
                <w:rFonts w:ascii="Times New Roman" w:hAnsi="Times New Roman" w:cs="Times New Roman"/>
                <w:sz w:val="18"/>
              </w:rPr>
              <w:t>23.000.000</w:t>
            </w:r>
          </w:p>
        </w:tc>
        <w:tc>
          <w:tcPr>
            <w:tcW w:w="1000" w:type="pct"/>
            <w:vAlign w:val="bottom"/>
          </w:tcPr>
          <w:p w:rsidR="003A14F2" w:rsidRDefault="00851133">
            <w:pPr>
              <w:spacing w:after="0" w:line="240" w:lineRule="auto"/>
              <w:jc w:val="right"/>
            </w:pPr>
            <w:r>
              <w:rPr>
                <w:rFonts w:ascii="Times New Roman" w:hAnsi="Times New Roman" w:cs="Times New Roman"/>
                <w:sz w:val="18"/>
              </w:rPr>
              <w:t>16.232.591</w:t>
            </w:r>
          </w:p>
        </w:tc>
        <w:tc>
          <w:tcPr>
            <w:tcW w:w="800" w:type="pct"/>
            <w:vAlign w:val="bottom"/>
          </w:tcPr>
          <w:p w:rsidR="003A14F2" w:rsidRDefault="00851133">
            <w:pPr>
              <w:spacing w:after="0" w:line="240" w:lineRule="auto"/>
              <w:jc w:val="right"/>
            </w:pPr>
            <w:r>
              <w:rPr>
                <w:rFonts w:ascii="Times New Roman" w:hAnsi="Times New Roman" w:cs="Times New Roman"/>
                <w:sz w:val="18"/>
              </w:rPr>
              <w:t>70,6</w:t>
            </w:r>
          </w:p>
        </w:tc>
      </w:tr>
      <w:tr w:rsidR="003A14F2">
        <w:tc>
          <w:tcPr>
            <w:tcW w:w="2500" w:type="pct"/>
            <w:vAlign w:val="bottom"/>
          </w:tcPr>
          <w:p w:rsidR="003A14F2" w:rsidRDefault="00851133">
            <w:pPr>
              <w:spacing w:after="0" w:line="240" w:lineRule="auto"/>
            </w:pPr>
            <w:r>
              <w:rPr>
                <w:rFonts w:ascii="Times New Roman" w:hAnsi="Times New Roman" w:cs="Times New Roman"/>
                <w:sz w:val="18"/>
              </w:rPr>
              <w:t>5 IZDACI ZA FINANCIJSKU IMOVINU I OTPLATE ZAJMOVA</w:t>
            </w:r>
          </w:p>
        </w:tc>
        <w:tc>
          <w:tcPr>
            <w:tcW w:w="1000" w:type="pct"/>
            <w:vAlign w:val="bottom"/>
          </w:tcPr>
          <w:p w:rsidR="003A14F2" w:rsidRDefault="00851133">
            <w:pPr>
              <w:spacing w:after="0" w:line="240" w:lineRule="auto"/>
              <w:jc w:val="right"/>
            </w:pPr>
            <w:r>
              <w:rPr>
                <w:rFonts w:ascii="Times New Roman" w:hAnsi="Times New Roman" w:cs="Times New Roman"/>
                <w:sz w:val="18"/>
              </w:rPr>
              <w:t>95.771.291</w:t>
            </w:r>
          </w:p>
        </w:tc>
        <w:tc>
          <w:tcPr>
            <w:tcW w:w="1000" w:type="pct"/>
            <w:vAlign w:val="bottom"/>
          </w:tcPr>
          <w:p w:rsidR="003A14F2" w:rsidRDefault="00851133">
            <w:pPr>
              <w:spacing w:after="0" w:line="240" w:lineRule="auto"/>
              <w:jc w:val="right"/>
            </w:pPr>
            <w:r>
              <w:rPr>
                <w:rFonts w:ascii="Times New Roman" w:hAnsi="Times New Roman" w:cs="Times New Roman"/>
                <w:sz w:val="18"/>
              </w:rPr>
              <w:t>47.199.332</w:t>
            </w:r>
          </w:p>
        </w:tc>
        <w:tc>
          <w:tcPr>
            <w:tcW w:w="800" w:type="pct"/>
            <w:vAlign w:val="bottom"/>
          </w:tcPr>
          <w:p w:rsidR="003A14F2" w:rsidRDefault="00851133">
            <w:pPr>
              <w:spacing w:after="0" w:line="240" w:lineRule="auto"/>
              <w:jc w:val="right"/>
            </w:pPr>
            <w:r>
              <w:rPr>
                <w:rFonts w:ascii="Times New Roman" w:hAnsi="Times New Roman" w:cs="Times New Roman"/>
                <w:sz w:val="18"/>
              </w:rPr>
              <w:t>49,3</w:t>
            </w:r>
          </w:p>
        </w:tc>
      </w:tr>
      <w:tr w:rsidR="003A14F2">
        <w:tc>
          <w:tcPr>
            <w:tcW w:w="2500" w:type="pct"/>
            <w:vAlign w:val="bottom"/>
          </w:tcPr>
          <w:p w:rsidR="003A14F2" w:rsidRDefault="00851133">
            <w:pPr>
              <w:spacing w:after="0" w:line="240" w:lineRule="auto"/>
            </w:pPr>
            <w:r>
              <w:rPr>
                <w:rFonts w:ascii="Times New Roman" w:hAnsi="Times New Roman" w:cs="Times New Roman"/>
                <w:b/>
                <w:sz w:val="18"/>
              </w:rPr>
              <w:t>RAZLIKA PRIMITAKA I IZDATAKA</w:t>
            </w:r>
          </w:p>
        </w:tc>
        <w:tc>
          <w:tcPr>
            <w:tcW w:w="1000" w:type="pct"/>
            <w:vAlign w:val="bottom"/>
          </w:tcPr>
          <w:p w:rsidR="003A14F2" w:rsidRDefault="00851133">
            <w:pPr>
              <w:spacing w:after="0" w:line="240" w:lineRule="auto"/>
              <w:jc w:val="right"/>
            </w:pPr>
            <w:r>
              <w:rPr>
                <w:rFonts w:ascii="Times New Roman" w:hAnsi="Times New Roman" w:cs="Times New Roman"/>
                <w:b/>
                <w:sz w:val="18"/>
              </w:rPr>
              <w:t>-72.771.291</w:t>
            </w:r>
          </w:p>
        </w:tc>
        <w:tc>
          <w:tcPr>
            <w:tcW w:w="1000" w:type="pct"/>
            <w:vAlign w:val="bottom"/>
          </w:tcPr>
          <w:p w:rsidR="003A14F2" w:rsidRDefault="00851133">
            <w:pPr>
              <w:spacing w:after="0" w:line="240" w:lineRule="auto"/>
              <w:jc w:val="right"/>
            </w:pPr>
            <w:r>
              <w:rPr>
                <w:rFonts w:ascii="Times New Roman" w:hAnsi="Times New Roman" w:cs="Times New Roman"/>
                <w:b/>
                <w:sz w:val="18"/>
              </w:rPr>
              <w:t>-30.966.741</w:t>
            </w:r>
          </w:p>
        </w:tc>
        <w:tc>
          <w:tcPr>
            <w:tcW w:w="800" w:type="pct"/>
            <w:vAlign w:val="bottom"/>
          </w:tcPr>
          <w:p w:rsidR="003A14F2" w:rsidRDefault="00851133">
            <w:pPr>
              <w:spacing w:after="0" w:line="240" w:lineRule="auto"/>
              <w:jc w:val="right"/>
            </w:pPr>
            <w:r>
              <w:rPr>
                <w:rFonts w:ascii="Times New Roman" w:hAnsi="Times New Roman" w:cs="Times New Roman"/>
                <w:b/>
                <w:sz w:val="18"/>
              </w:rPr>
              <w:t>42,6</w:t>
            </w:r>
          </w:p>
        </w:tc>
      </w:tr>
      <w:tr w:rsidR="003A14F2">
        <w:tc>
          <w:tcPr>
            <w:tcW w:w="2500" w:type="pct"/>
            <w:vAlign w:val="bottom"/>
          </w:tcPr>
          <w:p w:rsidR="003A14F2" w:rsidRDefault="00851133">
            <w:pPr>
              <w:spacing w:after="0" w:line="240" w:lineRule="auto"/>
            </w:pPr>
            <w:r>
              <w:rPr>
                <w:rFonts w:ascii="Times New Roman" w:hAnsi="Times New Roman" w:cs="Times New Roman"/>
                <w:sz w:val="18"/>
              </w:rPr>
              <w:t>PRIJENOS SREDSTAVA IZ PRETHODNE GODINE</w:t>
            </w:r>
          </w:p>
        </w:tc>
        <w:tc>
          <w:tcPr>
            <w:tcW w:w="1000" w:type="pct"/>
            <w:vAlign w:val="bottom"/>
          </w:tcPr>
          <w:p w:rsidR="003A14F2" w:rsidRDefault="00851133">
            <w:pPr>
              <w:spacing w:after="0" w:line="240" w:lineRule="auto"/>
              <w:jc w:val="right"/>
            </w:pPr>
            <w:r>
              <w:rPr>
                <w:rFonts w:ascii="Times New Roman" w:hAnsi="Times New Roman" w:cs="Times New Roman"/>
                <w:sz w:val="18"/>
              </w:rPr>
              <w:t>238.700.000</w:t>
            </w:r>
          </w:p>
        </w:tc>
        <w:tc>
          <w:tcPr>
            <w:tcW w:w="800" w:type="pct"/>
            <w:vAlign w:val="bottom"/>
          </w:tcPr>
          <w:p w:rsidR="003A14F2" w:rsidRDefault="00851133">
            <w:pPr>
              <w:spacing w:after="0" w:line="240" w:lineRule="auto"/>
              <w:jc w:val="right"/>
            </w:pPr>
            <w:r>
              <w:rPr>
                <w:rFonts w:ascii="Times New Roman" w:hAnsi="Times New Roman" w:cs="Times New Roman"/>
                <w:sz w:val="18"/>
              </w:rPr>
              <w:t>56.011.312</w:t>
            </w:r>
          </w:p>
        </w:tc>
        <w:tc>
          <w:tcPr>
            <w:tcW w:w="800" w:type="pct"/>
            <w:vAlign w:val="bottom"/>
          </w:tcPr>
          <w:p w:rsidR="003A14F2" w:rsidRDefault="00851133">
            <w:pPr>
              <w:spacing w:after="0" w:line="240" w:lineRule="auto"/>
              <w:jc w:val="right"/>
            </w:pPr>
            <w:r>
              <w:rPr>
                <w:rFonts w:ascii="Times New Roman" w:hAnsi="Times New Roman" w:cs="Times New Roman"/>
                <w:sz w:val="18"/>
              </w:rPr>
              <w:t>23,5</w:t>
            </w:r>
          </w:p>
        </w:tc>
      </w:tr>
      <w:tr w:rsidR="003A14F2">
        <w:tc>
          <w:tcPr>
            <w:tcW w:w="2500" w:type="pct"/>
            <w:vAlign w:val="bottom"/>
          </w:tcPr>
          <w:p w:rsidR="003A14F2" w:rsidRDefault="00851133">
            <w:pPr>
              <w:spacing w:after="0" w:line="240" w:lineRule="auto"/>
            </w:pPr>
            <w:r>
              <w:rPr>
                <w:rFonts w:ascii="Times New Roman" w:hAnsi="Times New Roman" w:cs="Times New Roman"/>
                <w:sz w:val="18"/>
              </w:rPr>
              <w:t>PRIJENOS SREDSTAVA U SLJEDEĆE RAZDOBLJE</w:t>
            </w:r>
          </w:p>
        </w:tc>
        <w:tc>
          <w:tcPr>
            <w:tcW w:w="1000" w:type="pct"/>
            <w:vAlign w:val="bottom"/>
          </w:tcPr>
          <w:p w:rsidR="003A14F2" w:rsidRDefault="00851133">
            <w:pPr>
              <w:spacing w:after="0" w:line="240" w:lineRule="auto"/>
              <w:jc w:val="right"/>
            </w:pPr>
            <w:r>
              <w:rPr>
                <w:rFonts w:ascii="Times New Roman" w:hAnsi="Times New Roman" w:cs="Times New Roman"/>
                <w:sz w:val="18"/>
              </w:rPr>
              <w:t>-271.835.144</w:t>
            </w:r>
          </w:p>
        </w:tc>
        <w:tc>
          <w:tcPr>
            <w:tcW w:w="800" w:type="pct"/>
            <w:vAlign w:val="bottom"/>
          </w:tcPr>
          <w:p w:rsidR="003A14F2" w:rsidRDefault="00851133">
            <w:pPr>
              <w:spacing w:after="0" w:line="240" w:lineRule="auto"/>
              <w:jc w:val="right"/>
            </w:pPr>
            <w:r>
              <w:rPr>
                <w:rFonts w:ascii="Times New Roman" w:hAnsi="Times New Roman" w:cs="Times New Roman"/>
                <w:sz w:val="18"/>
              </w:rPr>
              <w:t>-44.150.244</w:t>
            </w:r>
          </w:p>
        </w:tc>
        <w:tc>
          <w:tcPr>
            <w:tcW w:w="800" w:type="pct"/>
            <w:vAlign w:val="bottom"/>
          </w:tcPr>
          <w:p w:rsidR="003A14F2" w:rsidRDefault="00851133">
            <w:pPr>
              <w:spacing w:after="0" w:line="240" w:lineRule="auto"/>
              <w:jc w:val="right"/>
            </w:pPr>
            <w:r>
              <w:rPr>
                <w:rFonts w:ascii="Times New Roman" w:hAnsi="Times New Roman" w:cs="Times New Roman"/>
                <w:sz w:val="18"/>
              </w:rPr>
              <w:t>16,2</w:t>
            </w:r>
          </w:p>
        </w:tc>
      </w:tr>
      <w:tr w:rsidR="003A14F2">
        <w:tc>
          <w:tcPr>
            <w:tcW w:w="2500" w:type="pct"/>
            <w:vAlign w:val="bottom"/>
          </w:tcPr>
          <w:p w:rsidR="003A14F2" w:rsidRDefault="00851133">
            <w:pPr>
              <w:spacing w:after="0" w:line="240" w:lineRule="auto"/>
            </w:pPr>
            <w:r>
              <w:rPr>
                <w:rFonts w:ascii="Times New Roman" w:hAnsi="Times New Roman" w:cs="Times New Roman"/>
                <w:sz w:val="18"/>
              </w:rPr>
              <w:t>NETO FINANCIRANJE</w:t>
            </w:r>
          </w:p>
        </w:tc>
        <w:tc>
          <w:tcPr>
            <w:tcW w:w="1000" w:type="pct"/>
            <w:vAlign w:val="bottom"/>
          </w:tcPr>
          <w:p w:rsidR="003A14F2" w:rsidRDefault="00851133">
            <w:pPr>
              <w:spacing w:after="0" w:line="240" w:lineRule="auto"/>
              <w:jc w:val="right"/>
            </w:pPr>
            <w:r>
              <w:rPr>
                <w:rFonts w:ascii="Times New Roman" w:hAnsi="Times New Roman" w:cs="Times New Roman"/>
                <w:sz w:val="18"/>
              </w:rPr>
              <w:t>-105.906.435</w:t>
            </w:r>
          </w:p>
        </w:tc>
        <w:tc>
          <w:tcPr>
            <w:tcW w:w="800" w:type="pct"/>
            <w:vAlign w:val="bottom"/>
          </w:tcPr>
          <w:p w:rsidR="003A14F2" w:rsidRDefault="00851133">
            <w:pPr>
              <w:spacing w:after="0" w:line="240" w:lineRule="auto"/>
              <w:jc w:val="right"/>
            </w:pPr>
            <w:r>
              <w:rPr>
                <w:rFonts w:ascii="Times New Roman" w:hAnsi="Times New Roman" w:cs="Times New Roman"/>
                <w:sz w:val="18"/>
              </w:rPr>
              <w:t>-19.105.672</w:t>
            </w:r>
          </w:p>
        </w:tc>
        <w:tc>
          <w:tcPr>
            <w:tcW w:w="800" w:type="pct"/>
            <w:vAlign w:val="bottom"/>
          </w:tcPr>
          <w:p w:rsidR="003A14F2" w:rsidRDefault="00851133">
            <w:pPr>
              <w:spacing w:after="0" w:line="240" w:lineRule="auto"/>
              <w:jc w:val="right"/>
            </w:pPr>
            <w:r>
              <w:rPr>
                <w:rFonts w:ascii="Times New Roman" w:hAnsi="Times New Roman" w:cs="Times New Roman"/>
                <w:sz w:val="18"/>
              </w:rPr>
              <w:t>18,0</w:t>
            </w:r>
          </w:p>
        </w:tc>
      </w:tr>
      <w:tr w:rsidR="003A14F2">
        <w:tc>
          <w:tcPr>
            <w:tcW w:w="2500" w:type="pct"/>
            <w:vAlign w:val="bottom"/>
          </w:tcPr>
          <w:p w:rsidR="003A14F2" w:rsidRDefault="00851133">
            <w:pPr>
              <w:spacing w:after="0" w:line="240" w:lineRule="auto"/>
            </w:pPr>
            <w:r>
              <w:rPr>
                <w:rFonts w:ascii="Times New Roman" w:hAnsi="Times New Roman" w:cs="Times New Roman"/>
                <w:b/>
                <w:sz w:val="18"/>
              </w:rPr>
              <w:t>VIŠAK/MANJAK + NETO FINANCIRANJE</w:t>
            </w:r>
          </w:p>
        </w:tc>
        <w:tc>
          <w:tcPr>
            <w:tcW w:w="1000" w:type="pct"/>
            <w:vAlign w:val="bottom"/>
          </w:tcPr>
          <w:p w:rsidR="003A14F2" w:rsidRDefault="00851133">
            <w:pPr>
              <w:spacing w:after="0" w:line="240" w:lineRule="auto"/>
              <w:jc w:val="right"/>
            </w:pPr>
            <w:r>
              <w:rPr>
                <w:rFonts w:ascii="Times New Roman" w:hAnsi="Times New Roman" w:cs="Times New Roman"/>
                <w:b/>
                <w:sz w:val="18"/>
              </w:rPr>
              <w:t>0</w:t>
            </w:r>
          </w:p>
        </w:tc>
        <w:tc>
          <w:tcPr>
            <w:tcW w:w="800" w:type="pct"/>
            <w:vAlign w:val="bottom"/>
          </w:tcPr>
          <w:p w:rsidR="003A14F2" w:rsidRDefault="00851133">
            <w:pPr>
              <w:spacing w:after="0" w:line="240" w:lineRule="auto"/>
              <w:jc w:val="right"/>
            </w:pPr>
            <w:r>
              <w:rPr>
                <w:rFonts w:ascii="Times New Roman" w:hAnsi="Times New Roman" w:cs="Times New Roman"/>
                <w:b/>
                <w:sz w:val="18"/>
              </w:rPr>
              <w:t>0</w:t>
            </w:r>
          </w:p>
        </w:tc>
        <w:tc>
          <w:tcPr>
            <w:tcW w:w="800" w:type="pct"/>
            <w:vAlign w:val="bottom"/>
          </w:tcPr>
          <w:p w:rsidR="003A14F2" w:rsidRDefault="003A14F2">
            <w:pPr>
              <w:spacing w:after="0" w:line="240" w:lineRule="auto"/>
              <w:jc w:val="right"/>
            </w:pPr>
          </w:p>
        </w:tc>
      </w:tr>
    </w:tbl>
    <w:p w:rsidR="003A14F2" w:rsidRDefault="003A14F2">
      <w:pPr>
        <w:spacing w:after="0" w:line="240" w:lineRule="auto"/>
      </w:pPr>
    </w:p>
    <w:p w:rsidR="003A14F2" w:rsidRDefault="00851133">
      <w:pPr>
        <w:spacing w:line="240" w:lineRule="auto"/>
        <w:ind w:right="79"/>
        <w:jc w:val="both"/>
      </w:pPr>
      <w:r>
        <w:rPr>
          <w:rFonts w:ascii="Times New Roman" w:hAnsi="Times New Roman" w:cs="Times New Roman"/>
          <w:sz w:val="24"/>
        </w:rPr>
        <w:t>Ostvareni prihodi i rashodi poslovanja u prvom polugodištu 2025. godine rezultiraju viškom u iznosu od 19.105.672 EUR.</w:t>
      </w:r>
    </w:p>
    <w:p w:rsidR="003A14F2" w:rsidRDefault="00851133">
      <w:pPr>
        <w:spacing w:line="240" w:lineRule="auto"/>
        <w:ind w:right="79"/>
        <w:jc w:val="both"/>
      </w:pPr>
      <w:r>
        <w:rPr>
          <w:rFonts w:ascii="Times New Roman" w:hAnsi="Times New Roman" w:cs="Times New Roman"/>
          <w:sz w:val="24"/>
        </w:rPr>
        <w:t>Primici od financijske imovine i zaduživanje zaduživanja ostvareni su u iznosu od 16.232.591 EUR, a realiziraju se sukcesivno, prema dinamici građevinskih radova na izgradnji autoceste A5 i autoceste A7.</w:t>
      </w:r>
    </w:p>
    <w:p w:rsidR="003A14F2" w:rsidRDefault="00851133">
      <w:pPr>
        <w:spacing w:line="240" w:lineRule="auto"/>
        <w:ind w:right="79"/>
        <w:jc w:val="both"/>
      </w:pPr>
      <w:r>
        <w:rPr>
          <w:rFonts w:ascii="Times New Roman" w:hAnsi="Times New Roman" w:cs="Times New Roman"/>
          <w:sz w:val="24"/>
        </w:rPr>
        <w:t>Izdaci za financijsku imovinu i otplate zajmova, ostvareni u iznosu od 47.199.332 EUR, odnose se na izdatke za otplate glavnica, a otplate kreditnih obveza izvršavane su pravovremeno, sukladno otplatnim planovima.</w:t>
      </w:r>
    </w:p>
    <w:p w:rsidR="003A14F2" w:rsidRDefault="00851133">
      <w:pPr>
        <w:spacing w:line="240" w:lineRule="auto"/>
        <w:ind w:right="79"/>
        <w:jc w:val="both"/>
      </w:pPr>
      <w:r>
        <w:rPr>
          <w:rFonts w:ascii="Times New Roman" w:hAnsi="Times New Roman" w:cs="Times New Roman"/>
          <w:sz w:val="24"/>
        </w:rPr>
        <w:t>PRIJENOS SREDSTAVA</w:t>
      </w:r>
    </w:p>
    <w:p w:rsidR="003A14F2" w:rsidRDefault="00851133">
      <w:pPr>
        <w:spacing w:line="240" w:lineRule="auto"/>
        <w:ind w:right="79"/>
        <w:jc w:val="both"/>
      </w:pPr>
      <w:r>
        <w:rPr>
          <w:rFonts w:ascii="Times New Roman" w:hAnsi="Times New Roman" w:cs="Times New Roman"/>
          <w:sz w:val="24"/>
        </w:rPr>
        <w:t>Nakon podmirenja dospjelih obaveza proizašlih iz poslovnih, investicijskih i financijskih aktivnosti Društva, stanje novca u banci i blagajni na kraju 2024. godine iznosi 56.011.312 EUR, a prijenos sredstava u sljedeće razdoblje 44.150.244 EUR, bez oročenih depozita. Oročeni depozit na kraju promatranog razdoblja iznosi 193.300.000 EUR pa ukupna financijska sredstva iznose 237.450.244 EUR. Raspoloživi novac iskoristit će se za nastavak investicijskog ciklusa u svrhu provođenja strategije razvitka javnih cesta te za podmirenje kreditnih obveza Društva.</w:t>
      </w:r>
    </w:p>
    <w:p w:rsidR="003A14F2" w:rsidRDefault="00851133">
      <w:pPr>
        <w:spacing w:line="360" w:lineRule="auto"/>
        <w:jc w:val="center"/>
      </w:pPr>
      <w:r>
        <w:rPr>
          <w:rFonts w:ascii="Times New Roman" w:hAnsi="Times New Roman" w:cs="Times New Roman"/>
          <w:b/>
          <w:sz w:val="24"/>
        </w:rPr>
        <w:br/>
        <w:t>IZVJEŠTAJ O ZADUŽIVANJU NA DOMAĆEM I STRANOM TRŽIŠTU NOVCA I KAPITALA</w:t>
      </w:r>
    </w:p>
    <w:p w:rsidR="003A14F2" w:rsidRDefault="00851133">
      <w:pPr>
        <w:spacing w:line="240" w:lineRule="auto"/>
        <w:ind w:right="79"/>
        <w:jc w:val="both"/>
      </w:pPr>
      <w:r>
        <w:rPr>
          <w:rFonts w:ascii="Times New Roman" w:hAnsi="Times New Roman" w:cs="Times New Roman"/>
          <w:sz w:val="24"/>
        </w:rPr>
        <w:t>Društvo Hrvatske autoceste d.o.o. u razdoblju od siječnja do lipnja 2025. godine nije ugovorilo novo kreditno zaduženje.</w:t>
      </w:r>
    </w:p>
    <w:p w:rsidR="003A14F2" w:rsidRDefault="00851133">
      <w:pPr>
        <w:spacing w:line="360" w:lineRule="auto"/>
        <w:jc w:val="center"/>
      </w:pPr>
      <w:r>
        <w:rPr>
          <w:rFonts w:ascii="Times New Roman" w:hAnsi="Times New Roman" w:cs="Times New Roman"/>
          <w:b/>
          <w:sz w:val="24"/>
        </w:rPr>
        <w:br/>
        <w:t xml:space="preserve">IZVJEŠTAJ O DANIM JAMSTVIMA I PLAĆANJIMA PO PROTESTIRANIM JAMSTVIMA </w:t>
      </w:r>
    </w:p>
    <w:p w:rsidR="003A14F2" w:rsidRDefault="00851133">
      <w:pPr>
        <w:spacing w:line="240" w:lineRule="auto"/>
        <w:ind w:right="79"/>
        <w:jc w:val="both"/>
      </w:pPr>
      <w:r>
        <w:rPr>
          <w:rFonts w:ascii="Times New Roman" w:hAnsi="Times New Roman" w:cs="Times New Roman"/>
          <w:sz w:val="24"/>
        </w:rPr>
        <w:t>Društvo Hrvatske autoceste d.o.o. u razdoblju od siječnja do lipnja 2025. godine nije izdalo jamstva niti izvršilo plaćanja po protestiranim j</w:t>
      </w:r>
      <w:bookmarkStart w:id="0" w:name="_GoBack"/>
      <w:bookmarkEnd w:id="0"/>
      <w:r>
        <w:rPr>
          <w:rFonts w:ascii="Times New Roman" w:hAnsi="Times New Roman" w:cs="Times New Roman"/>
          <w:sz w:val="24"/>
        </w:rPr>
        <w:t>amstvima.</w:t>
      </w:r>
    </w:p>
    <w:sectPr w:rsidR="003A14F2" w:rsidSect="006C1EA0">
      <w:footerReference w:type="default" r:id="rId6"/>
      <w:pgSz w:w="11906" w:h="16838" w:code="9"/>
      <w:pgMar w:top="1417" w:right="1417" w:bottom="1417" w:left="1417" w:header="720" w:footer="720" w:gutter="0"/>
      <w:pgNumType w:start="1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133" w:rsidRDefault="00851133" w:rsidP="00851133">
      <w:pPr>
        <w:spacing w:after="0" w:line="240" w:lineRule="auto"/>
      </w:pPr>
      <w:r>
        <w:separator/>
      </w:r>
    </w:p>
  </w:endnote>
  <w:endnote w:type="continuationSeparator" w:id="0">
    <w:p w:rsidR="00851133" w:rsidRDefault="00851133" w:rsidP="00851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361253"/>
      <w:docPartObj>
        <w:docPartGallery w:val="Page Numbers (Bottom of Page)"/>
        <w:docPartUnique/>
      </w:docPartObj>
    </w:sdtPr>
    <w:sdtEndPr>
      <w:rPr>
        <w:rFonts w:ascii="Times New Roman" w:hAnsi="Times New Roman" w:cs="Times New Roman"/>
      </w:rPr>
    </w:sdtEndPr>
    <w:sdtContent>
      <w:p w:rsidR="00851133" w:rsidRPr="00851133" w:rsidRDefault="00851133">
        <w:pPr>
          <w:pStyle w:val="Podnoje"/>
          <w:jc w:val="center"/>
          <w:rPr>
            <w:rFonts w:ascii="Times New Roman" w:hAnsi="Times New Roman" w:cs="Times New Roman"/>
          </w:rPr>
        </w:pPr>
        <w:r w:rsidRPr="00851133">
          <w:rPr>
            <w:rFonts w:ascii="Times New Roman" w:hAnsi="Times New Roman" w:cs="Times New Roman"/>
          </w:rPr>
          <w:fldChar w:fldCharType="begin"/>
        </w:r>
        <w:r w:rsidRPr="00851133">
          <w:rPr>
            <w:rFonts w:ascii="Times New Roman" w:hAnsi="Times New Roman" w:cs="Times New Roman"/>
          </w:rPr>
          <w:instrText>PAGE   \* MERGEFORMAT</w:instrText>
        </w:r>
        <w:r w:rsidRPr="00851133">
          <w:rPr>
            <w:rFonts w:ascii="Times New Roman" w:hAnsi="Times New Roman" w:cs="Times New Roman"/>
          </w:rPr>
          <w:fldChar w:fldCharType="separate"/>
        </w:r>
        <w:r w:rsidR="006C1EA0">
          <w:rPr>
            <w:rFonts w:ascii="Times New Roman" w:hAnsi="Times New Roman" w:cs="Times New Roman"/>
            <w:noProof/>
          </w:rPr>
          <w:t>12</w:t>
        </w:r>
        <w:r w:rsidRPr="00851133">
          <w:rPr>
            <w:rFonts w:ascii="Times New Roman" w:hAnsi="Times New Roman" w:cs="Times New Roman"/>
          </w:rPr>
          <w:fldChar w:fldCharType="end"/>
        </w:r>
      </w:p>
    </w:sdtContent>
  </w:sdt>
  <w:p w:rsidR="00851133" w:rsidRDefault="0085113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133" w:rsidRDefault="00851133" w:rsidP="00851133">
      <w:pPr>
        <w:spacing w:after="0" w:line="240" w:lineRule="auto"/>
      </w:pPr>
      <w:r>
        <w:separator/>
      </w:r>
    </w:p>
  </w:footnote>
  <w:footnote w:type="continuationSeparator" w:id="0">
    <w:p w:rsidR="00851133" w:rsidRDefault="00851133" w:rsidP="008511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4F2"/>
    <w:rsid w:val="003A14F2"/>
    <w:rsid w:val="006C1EA0"/>
    <w:rsid w:val="008511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54FED"/>
  <w15:docId w15:val="{258510FA-F4EB-469F-9496-2E0CB824E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85113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1133"/>
  </w:style>
  <w:style w:type="paragraph" w:styleId="Podnoje">
    <w:name w:val="footer"/>
    <w:basedOn w:val="Normal"/>
    <w:link w:val="PodnojeChar"/>
    <w:uiPriority w:val="99"/>
    <w:unhideWhenUsed/>
    <w:rsid w:val="0085113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51133"/>
  </w:style>
  <w:style w:type="paragraph" w:styleId="Tekstbalonia">
    <w:name w:val="Balloon Text"/>
    <w:basedOn w:val="Normal"/>
    <w:link w:val="TekstbaloniaChar"/>
    <w:uiPriority w:val="99"/>
    <w:semiHidden/>
    <w:unhideWhenUsed/>
    <w:rsid w:val="006C1EA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C1E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1114</Words>
  <Characters>6350</Characters>
  <Application>Microsoft Office Word</Application>
  <DocSecurity>0</DocSecurity>
  <Lines>52</Lines>
  <Paragraphs>14</Paragraphs>
  <ScaleCrop>false</ScaleCrop>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Bakiš</cp:lastModifiedBy>
  <cp:revision>3</cp:revision>
  <cp:lastPrinted>2025-09-11T14:08:00Z</cp:lastPrinted>
  <dcterms:created xsi:type="dcterms:W3CDTF">2025-09-05T11:03:00Z</dcterms:created>
  <dcterms:modified xsi:type="dcterms:W3CDTF">2025-09-11T14:08:00Z</dcterms:modified>
</cp:coreProperties>
</file>